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50" w:rsidRDefault="00971350" w:rsidP="009C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350" w:rsidRDefault="00971350" w:rsidP="009C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5C31" w:rsidRPr="008F6226" w:rsidRDefault="008C5C31" w:rsidP="009C63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226">
        <w:rPr>
          <w:rFonts w:ascii="Times New Roman" w:hAnsi="Times New Roman" w:cs="Times New Roman"/>
          <w:b/>
          <w:sz w:val="28"/>
          <w:szCs w:val="28"/>
        </w:rPr>
        <w:t>ULAŞTIRMA VE ALTYAPI BAKANLIĞI</w:t>
      </w:r>
    </w:p>
    <w:p w:rsidR="000873EA" w:rsidRDefault="000873EA" w:rsidP="009C6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6395" w:rsidRDefault="009C6395" w:rsidP="009C639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5917">
        <w:rPr>
          <w:rFonts w:ascii="Times New Roman" w:hAnsi="Times New Roman" w:cs="Times New Roman"/>
          <w:b/>
          <w:sz w:val="24"/>
          <w:szCs w:val="24"/>
        </w:rPr>
        <w:t xml:space="preserve">AVRUPA BİRLİĞİ, </w:t>
      </w:r>
      <w:r w:rsidR="008C5C31">
        <w:rPr>
          <w:rFonts w:ascii="Times New Roman" w:hAnsi="Times New Roman" w:cs="Times New Roman"/>
          <w:b/>
          <w:sz w:val="24"/>
          <w:szCs w:val="24"/>
        </w:rPr>
        <w:t>ULAŞTIRMA VE HABERLEŞME</w:t>
      </w:r>
      <w:r w:rsidR="008F6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2B0E">
        <w:rPr>
          <w:rFonts w:ascii="Times New Roman" w:hAnsi="Times New Roman" w:cs="Times New Roman"/>
          <w:b/>
          <w:sz w:val="24"/>
          <w:szCs w:val="24"/>
        </w:rPr>
        <w:t>İLE</w:t>
      </w:r>
      <w:r w:rsidR="008F6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5917">
        <w:rPr>
          <w:rFonts w:ascii="Times New Roman" w:hAnsi="Times New Roman" w:cs="Times New Roman"/>
          <w:b/>
          <w:sz w:val="24"/>
          <w:szCs w:val="24"/>
        </w:rPr>
        <w:t>DENİZCİLİK</w:t>
      </w:r>
    </w:p>
    <w:p w:rsidR="009C6395" w:rsidRDefault="009C6395" w:rsidP="009C639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 w:rsidRPr="00855917">
        <w:rPr>
          <w:rFonts w:ascii="Times New Roman" w:hAnsi="Times New Roman" w:cs="Times New Roman"/>
          <w:b/>
          <w:sz w:val="24"/>
          <w:szCs w:val="24"/>
        </w:rPr>
        <w:t xml:space="preserve"> UZMAN YARDIMCILARININ TEZ HAZIRLAMA YÖNERGESİ</w:t>
      </w:r>
    </w:p>
    <w:p w:rsidR="00C12B0E" w:rsidRDefault="00C12B0E" w:rsidP="009C639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9C6395" w:rsidRDefault="009C6395" w:rsidP="009C639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BİRİNCİ BÖLÜM</w:t>
      </w:r>
    </w:p>
    <w:p w:rsidR="009C6395" w:rsidRDefault="009C6395" w:rsidP="009C639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Amaç, </w:t>
      </w:r>
      <w:r w:rsidR="006D5615">
        <w:rPr>
          <w:rFonts w:ascii="Times New Roman" w:hAnsi="Times New Roman" w:cs="Times New Roman"/>
          <w:b/>
          <w:bCs/>
          <w:sz w:val="24"/>
        </w:rPr>
        <w:t xml:space="preserve">Kapsam, </w:t>
      </w:r>
      <w:r>
        <w:rPr>
          <w:rFonts w:ascii="Times New Roman" w:hAnsi="Times New Roman" w:cs="Times New Roman"/>
          <w:b/>
          <w:bCs/>
          <w:sz w:val="24"/>
        </w:rPr>
        <w:t>Dayanak</w:t>
      </w:r>
      <w:r w:rsidR="006D5615">
        <w:rPr>
          <w:rFonts w:ascii="Times New Roman" w:hAnsi="Times New Roman" w:cs="Times New Roman"/>
          <w:b/>
          <w:bCs/>
          <w:sz w:val="24"/>
        </w:rPr>
        <w:t>,</w:t>
      </w:r>
      <w:r w:rsidR="00956A93">
        <w:rPr>
          <w:rFonts w:ascii="Times New Roman" w:hAnsi="Times New Roman" w:cs="Times New Roman"/>
          <w:b/>
          <w:bCs/>
          <w:sz w:val="24"/>
        </w:rPr>
        <w:t xml:space="preserve"> </w:t>
      </w:r>
      <w:r w:rsidR="006D5615">
        <w:rPr>
          <w:rFonts w:ascii="Times New Roman" w:hAnsi="Times New Roman" w:cs="Times New Roman"/>
          <w:b/>
          <w:bCs/>
          <w:sz w:val="24"/>
        </w:rPr>
        <w:t>Tanımlar</w:t>
      </w:r>
      <w:r>
        <w:rPr>
          <w:rFonts w:ascii="Times New Roman" w:hAnsi="Times New Roman" w:cs="Times New Roman"/>
          <w:b/>
          <w:bCs/>
          <w:sz w:val="24"/>
        </w:rPr>
        <w:t xml:space="preserve"> ve Temel İlkeler</w:t>
      </w:r>
    </w:p>
    <w:p w:rsidR="009C6395" w:rsidRDefault="009C6395" w:rsidP="009C6395">
      <w:pPr>
        <w:spacing w:after="0"/>
        <w:jc w:val="center"/>
        <w:rPr>
          <w:rFonts w:ascii="Times New Roman" w:hAnsi="Times New Roman" w:cs="Times New Roman"/>
          <w:b/>
          <w:bCs/>
          <w:sz w:val="24"/>
        </w:rPr>
      </w:pPr>
    </w:p>
    <w:p w:rsidR="009C6395" w:rsidRPr="00855917" w:rsidRDefault="009C6395" w:rsidP="009C63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559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Amaç</w:t>
      </w:r>
    </w:p>
    <w:p w:rsidR="009C6395" w:rsidRDefault="009C6395" w:rsidP="00415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8559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  <w:t xml:space="preserve">MADDE 1 </w:t>
      </w:r>
      <w:r w:rsidR="0063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- (1) Bu yönerge,</w:t>
      </w:r>
      <w:r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6352A1" w:rsidRPr="0063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Ulaştırma ve Altya</w:t>
      </w:r>
      <w:bookmarkStart w:id="0" w:name="_GoBack"/>
      <w:bookmarkEnd w:id="0"/>
      <w:r w:rsidR="006352A1" w:rsidRPr="0063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pı Bakanlığında </w:t>
      </w:r>
      <w:r w:rsidR="0063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görev yapan </w:t>
      </w:r>
      <w:r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Uzman Yardımcıları tarafından hazırlanacak </w:t>
      </w:r>
      <w:r w:rsidR="0057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</w:t>
      </w:r>
      <w:r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zmanlık tez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ler</w:t>
      </w:r>
      <w:r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inin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usul </w:t>
      </w:r>
      <w:r w:rsidR="006352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 esaslarını belirlemek amacıyla hazırlanmıştır.</w:t>
      </w:r>
      <w:r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</w:p>
    <w:p w:rsidR="00386184" w:rsidRDefault="00386184" w:rsidP="0041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86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Kapsam</w:t>
      </w:r>
    </w:p>
    <w:p w:rsidR="00386184" w:rsidRPr="00386184" w:rsidRDefault="00386184" w:rsidP="0041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  <w:t xml:space="preserve">MADDE 2 – </w:t>
      </w:r>
      <w:r w:rsidRPr="00386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(1)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Bu Yönerge Ulaştırma ve Altyapı Bakanlığında 657 sayılı Devlet Memurları Kanununa tabi olarak görev yapan</w:t>
      </w:r>
      <w:r w:rsidRPr="00386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Avrupa Birliği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, </w:t>
      </w:r>
      <w:r w:rsidRPr="00386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Ul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aştırma ve Haberleşme ile Denizcilik Uzman Yardımcılarını kapsar.</w:t>
      </w:r>
    </w:p>
    <w:p w:rsidR="009C6395" w:rsidRPr="00855917" w:rsidRDefault="009C6395" w:rsidP="009C6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8559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  <w:t>Dayanak</w:t>
      </w:r>
    </w:p>
    <w:p w:rsidR="009C6395" w:rsidRDefault="00386184" w:rsidP="004155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  <w:t>MADDE 3</w:t>
      </w:r>
      <w:r w:rsidR="009C6395" w:rsidRPr="0085591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</w:t>
      </w:r>
      <w:r w:rsidR="009C6395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- (1) Bu yönerge </w:t>
      </w:r>
      <w:r w:rsidR="00287C6E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05/11/2013 tarihli </w:t>
      </w:r>
      <w:r w:rsidR="00575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ve </w:t>
      </w:r>
      <w:r w:rsidR="00287C6E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28812 sayılı</w:t>
      </w:r>
      <w:r w:rsidR="0066794E" w:rsidRPr="006679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Resmi Gazete’de yayımlanan</w:t>
      </w:r>
      <w:r w:rsidR="00287C6E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“Bakanlıklar </w:t>
      </w:r>
      <w:r w:rsidR="00C74DE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ve</w:t>
      </w:r>
      <w:r w:rsidR="00287C6E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Başbakanlık Bağlı Kuruluşları Avrupa Birliği Uzmanlığı Yönetmeliği” </w:t>
      </w:r>
      <w:r w:rsidR="00287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ile</w:t>
      </w:r>
      <w:r w:rsidR="009C6395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0B0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15/01</w:t>
      </w:r>
      <w:r w:rsidR="009C6395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/201</w:t>
      </w:r>
      <w:r w:rsidR="000B0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9</w:t>
      </w:r>
      <w:r w:rsidR="009C6395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tarihli ve </w:t>
      </w:r>
      <w:r w:rsidR="000B0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30656 </w:t>
      </w:r>
      <w:r w:rsidR="009C6395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sayılı </w:t>
      </w:r>
      <w:r w:rsidR="000B0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Mükerrer Resmi Gazete’de yayımlanan </w:t>
      </w:r>
      <w:r w:rsidR="009C6395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“Ul</w:t>
      </w:r>
      <w:r w:rsidR="0057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aştırma ve Haberleşme Uzmanlığı</w:t>
      </w:r>
      <w:r w:rsidR="009C6395" w:rsidRPr="008559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Denizcilik Uzmanlığı Yönetmeliği” hükümlerine dayanılarak hazırlanmıştır.</w:t>
      </w:r>
    </w:p>
    <w:p w:rsidR="00386184" w:rsidRDefault="00386184" w:rsidP="0041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8618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Tanımlar</w:t>
      </w:r>
    </w:p>
    <w:p w:rsidR="00386184" w:rsidRDefault="00386184" w:rsidP="00386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  <w:t xml:space="preserve">MADDE 4 – </w:t>
      </w:r>
      <w:r w:rsidRPr="00386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(1) Bu yönergede geçen;</w:t>
      </w:r>
    </w:p>
    <w:p w:rsidR="00386184" w:rsidRPr="00386184" w:rsidRDefault="00386184" w:rsidP="00386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Pr="00386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86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Bakan: Ulaştırma ve Altyapı Bakanını</w:t>
      </w:r>
    </w:p>
    <w:p w:rsidR="00386184" w:rsidRDefault="00386184" w:rsidP="00386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 </w:t>
      </w:r>
      <w:r w:rsidRPr="00386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3861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Bakanlık: Ulaştırma ve Altyapı Bakanlığını,</w:t>
      </w:r>
    </w:p>
    <w:p w:rsidR="00441FE4" w:rsidRDefault="00441FE4" w:rsidP="00386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  <w:t xml:space="preserve">c) Uzman Yardımcısı: </w:t>
      </w:r>
      <w:r w:rsidRPr="00441FE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Avrupa Birliği, Ulaştırma ve Haberleşme ile Denizcilik Uzman Yardımcılarını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,</w:t>
      </w:r>
    </w:p>
    <w:p w:rsidR="00386184" w:rsidRPr="00386184" w:rsidRDefault="00386184" w:rsidP="003861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           ifade eder.</w:t>
      </w:r>
    </w:p>
    <w:p w:rsidR="00415524" w:rsidRDefault="009C6395" w:rsidP="00415524">
      <w:pPr>
        <w:spacing w:after="0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>Temel İlkeler</w:t>
      </w:r>
    </w:p>
    <w:p w:rsidR="009C6395" w:rsidRDefault="00386184" w:rsidP="00415524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  <w:t>MADDE 5</w:t>
      </w:r>
      <w:r w:rsidR="009C6395">
        <w:rPr>
          <w:rFonts w:ascii="Times New Roman" w:hAnsi="Times New Roman" w:cs="Times New Roman"/>
          <w:b/>
          <w:bCs/>
          <w:sz w:val="24"/>
        </w:rPr>
        <w:t xml:space="preserve"> – </w:t>
      </w:r>
      <w:r w:rsidR="009C6395" w:rsidRPr="002262EC">
        <w:rPr>
          <w:rFonts w:ascii="Times New Roman" w:hAnsi="Times New Roman" w:cs="Times New Roman"/>
          <w:bCs/>
          <w:sz w:val="24"/>
        </w:rPr>
        <w:t>(1) Hazırlanacak Uzmanlık Tezlerinde uyulması gereken araştırma esasları ve kullanılacak biçimsel kurallara ilişkin temel ilkeler bu yönergeyle belirlenmiştir. Bu temel ilkeler; araştırma ve yöntem, biçim ve görünüm, kaynak gösterme ve kaynakça hazırlama ile ilgili olarak düzenlenmiştir.</w:t>
      </w:r>
    </w:p>
    <w:p w:rsidR="00415524" w:rsidRDefault="001E31B2" w:rsidP="00415524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="009C6395" w:rsidRPr="002262EC">
        <w:rPr>
          <w:rFonts w:ascii="Times New Roman" w:hAnsi="Times New Roman" w:cs="Times New Roman"/>
          <w:bCs/>
          <w:sz w:val="24"/>
        </w:rPr>
        <w:t xml:space="preserve">(2) Bu düzenlemeler; tezin yazımı, inceleme ve değerlendirme aşamalarında; Uzman Yardımcısı, Danışman ve </w:t>
      </w:r>
      <w:r w:rsidR="009C6395">
        <w:rPr>
          <w:rFonts w:ascii="Times New Roman" w:hAnsi="Times New Roman" w:cs="Times New Roman"/>
          <w:bCs/>
          <w:sz w:val="24"/>
        </w:rPr>
        <w:t>K</w:t>
      </w:r>
      <w:r w:rsidR="009C6395" w:rsidRPr="002262EC">
        <w:rPr>
          <w:rFonts w:ascii="Times New Roman" w:hAnsi="Times New Roman" w:cs="Times New Roman"/>
          <w:bCs/>
          <w:sz w:val="24"/>
        </w:rPr>
        <w:t>omisyona yol gösterici olmak amacını taşımakt</w:t>
      </w:r>
      <w:r w:rsidR="006F7DA1">
        <w:rPr>
          <w:rFonts w:ascii="Times New Roman" w:hAnsi="Times New Roman" w:cs="Times New Roman"/>
          <w:bCs/>
          <w:sz w:val="24"/>
        </w:rPr>
        <w:t>a olup t</w:t>
      </w:r>
      <w:r w:rsidR="009C6395" w:rsidRPr="002262EC">
        <w:rPr>
          <w:rFonts w:ascii="Times New Roman" w:hAnsi="Times New Roman" w:cs="Times New Roman"/>
          <w:bCs/>
          <w:sz w:val="24"/>
        </w:rPr>
        <w:t>ezi hazırlama ve değerlendirme kolaylığı sağlaması, tezin biçimsel bir tutarlılığa sahip ol</w:t>
      </w:r>
      <w:r w:rsidR="006F7DA1">
        <w:rPr>
          <w:rFonts w:ascii="Times New Roman" w:hAnsi="Times New Roman" w:cs="Times New Roman"/>
          <w:bCs/>
          <w:sz w:val="24"/>
        </w:rPr>
        <w:t>ması ve tezler arasında standardın</w:t>
      </w:r>
      <w:r w:rsidR="009C6395" w:rsidRPr="002262EC">
        <w:rPr>
          <w:rFonts w:ascii="Times New Roman" w:hAnsi="Times New Roman" w:cs="Times New Roman"/>
          <w:bCs/>
          <w:sz w:val="24"/>
        </w:rPr>
        <w:t xml:space="preserve"> sağlanması açılarından bu temel ilkelere uyulması gerekmektedir.  </w:t>
      </w:r>
    </w:p>
    <w:p w:rsidR="00386184" w:rsidRDefault="00386184" w:rsidP="00415524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6184" w:rsidRDefault="00386184" w:rsidP="00415524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6184" w:rsidRDefault="00386184" w:rsidP="00415524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6184" w:rsidRDefault="00386184" w:rsidP="00415524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386184" w:rsidRDefault="00386184" w:rsidP="00415524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415524" w:rsidRDefault="009C6395" w:rsidP="00415524">
      <w:pPr>
        <w:spacing w:after="0"/>
        <w:ind w:left="2832"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lastRenderedPageBreak/>
        <w:t>İKİNCİ</w:t>
      </w:r>
      <w:r w:rsidRPr="002262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BÖLÜM</w:t>
      </w:r>
    </w:p>
    <w:p w:rsidR="006F7DA1" w:rsidRPr="002262EC" w:rsidRDefault="00415524" w:rsidP="0041552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                                        </w:t>
      </w:r>
      <w:r w:rsidR="009C6395" w:rsidRPr="002262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Genel Biçim</w:t>
      </w:r>
      <w:r w:rsidR="006F7DA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ve </w:t>
      </w:r>
      <w:r w:rsidR="009C6395" w:rsidRPr="002262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Yazım Planı</w:t>
      </w:r>
    </w:p>
    <w:p w:rsidR="009C6395" w:rsidRPr="002262EC" w:rsidRDefault="009C6395" w:rsidP="007F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:rsidR="009C6395" w:rsidRPr="002262EC" w:rsidRDefault="001E31B2" w:rsidP="004155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</w:r>
      <w:r w:rsidR="009C6395" w:rsidRPr="002262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Tezin Genel Biçimi</w:t>
      </w:r>
    </w:p>
    <w:p w:rsidR="009C6395" w:rsidRDefault="009C6395" w:rsidP="007F74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 w:rsidRPr="00226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ab/>
      </w:r>
      <w:r w:rsidR="001318E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MADDE 6</w:t>
      </w:r>
      <w:r w:rsidR="007F7413">
        <w:rPr>
          <w:rFonts w:ascii="Times New Roman" w:hAnsi="Times New Roman" w:cs="Times New Roman"/>
          <w:b/>
          <w:bCs/>
          <w:sz w:val="24"/>
        </w:rPr>
        <w:t xml:space="preserve">– </w:t>
      </w:r>
      <w:r w:rsidR="007F7413" w:rsidRPr="002262EC">
        <w:rPr>
          <w:rFonts w:ascii="Times New Roman" w:hAnsi="Times New Roman" w:cs="Times New Roman"/>
          <w:bCs/>
          <w:sz w:val="24"/>
        </w:rPr>
        <w:t xml:space="preserve">(1) </w:t>
      </w:r>
      <w:r w:rsidRPr="00226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Avrupa Birliği Uzman Yardımcısı, </w:t>
      </w:r>
      <w:r w:rsidRPr="00226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Ulaştırma ve Haberleşme Uzman </w:t>
      </w:r>
      <w:r w:rsidR="00573E0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Pr="00226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Yardımcısı ile Denizcilik Uzman Yardımcısı</w:t>
      </w:r>
      <w:r w:rsidR="00C91B2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;</w:t>
      </w:r>
      <w:r w:rsidR="00CE4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tezlerin</w:t>
      </w:r>
      <w:r w:rsidRPr="00226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içerik planlaması</w:t>
      </w:r>
      <w:r w:rsidR="00CE472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ile </w:t>
      </w:r>
      <w:r w:rsidRPr="00226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biçim olarak uyumluluğunun sağlanabilmes</w:t>
      </w:r>
      <w:r w:rsidR="00313A1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i maksadı ile hazırlanan ve Ek-1</w:t>
      </w:r>
      <w:r w:rsidRPr="00226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’te yer alan, tezin genel biçimi, yazım planı, tez düzeni, değinme, alıntı, dipnot, şekil, tablo ve resim kullanımı gibi konuları içeren “</w:t>
      </w:r>
      <w:r w:rsidR="009C7286" w:rsidRPr="009C7286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Ulaştırma ve Altyapı Bakanlığı Avrupa Birliği, Ulaştırma ve Haberleşme ile Denizcilik Uzman Yardımcılarının Tez Hazırlama Kılavuzu</w:t>
      </w:r>
      <w:r w:rsidRPr="002262E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” na uygun olarak tezini hazırlar.</w:t>
      </w:r>
    </w:p>
    <w:p w:rsidR="009C6395" w:rsidRPr="002262EC" w:rsidRDefault="009C6395" w:rsidP="009C6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ÜÇÜNCÜ</w:t>
      </w:r>
      <w:r w:rsidRPr="002262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BÖLÜM</w:t>
      </w:r>
    </w:p>
    <w:p w:rsidR="009C6395" w:rsidRDefault="009C6395" w:rsidP="009D2A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2262E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>Yürürlük ve Yürütme</w:t>
      </w:r>
    </w:p>
    <w:p w:rsidR="009D2AD0" w:rsidRDefault="009D2AD0" w:rsidP="009C6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p w:rsidR="009D2AD0" w:rsidRDefault="009D2AD0" w:rsidP="009C6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ab/>
        <w:t>Hüküm Bulunmayan Haller</w:t>
      </w:r>
    </w:p>
    <w:p w:rsidR="00C91B28" w:rsidRPr="00C26E2E" w:rsidRDefault="009D2AD0" w:rsidP="009C63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  <w:t xml:space="preserve">            MADDE 5- </w:t>
      </w:r>
      <w:r w:rsidRPr="00C26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(1) Bu yönergede hüküm bul</w:t>
      </w:r>
      <w:r w:rsidR="009C728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unmayan durumlarda ilgili </w:t>
      </w:r>
      <w:r w:rsidR="001318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mevzuat </w:t>
      </w:r>
      <w:r w:rsidRPr="00C26E2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hükümleri uygulanır.</w:t>
      </w:r>
    </w:p>
    <w:p w:rsidR="00E05010" w:rsidRPr="00E05010" w:rsidRDefault="00E05010" w:rsidP="00E05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Yürürlükten Kaldırılan Mevzuat</w:t>
      </w:r>
    </w:p>
    <w:p w:rsidR="00E05010" w:rsidRPr="00E05010" w:rsidRDefault="00E05010" w:rsidP="00E05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="008D5B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MADDE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5</w:t>
      </w:r>
      <w:r w:rsidRP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–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(1) 16.10.2015</w:t>
      </w:r>
      <w:r w:rsidRPr="00E050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tarih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li </w:t>
      </w:r>
      <w:r w:rsidRPr="00E050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Bakan Oluru ile yürürlüğe giren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“</w:t>
      </w:r>
      <w:r w:rsidRPr="00E050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Ulaştırma, Denizcilik ve Haberleşme Bakanlığı Avrupa Birliği, Ulaştırma ve Haberleşme, Havacılık ve Uzay Teknolojileri ile Denizcilik Uzman Yardımcılarının Tez Hazırlama Yönergesi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”</w:t>
      </w:r>
      <w:r w:rsidRPr="00E050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yürürlükten kaldırılmıştır</w:t>
      </w:r>
      <w:r w:rsidRP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.</w:t>
      </w:r>
    </w:p>
    <w:p w:rsidR="00E05010" w:rsidRPr="00E05010" w:rsidRDefault="00E05010" w:rsidP="00E05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</w:r>
      <w:r w:rsidRP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Yürürlük</w:t>
      </w:r>
    </w:p>
    <w:p w:rsidR="00E05010" w:rsidRPr="00E05010" w:rsidRDefault="008D5B9E" w:rsidP="00E0501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ab/>
        <w:t>MADDE</w:t>
      </w:r>
      <w:r w:rsid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6</w:t>
      </w:r>
      <w:r w:rsidR="00E05010" w:rsidRP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- </w:t>
      </w:r>
      <w:r w:rsidR="00E05010" w:rsidRPr="00E050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(1)</w:t>
      </w:r>
      <w:r w:rsidR="00E05010" w:rsidRP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</w:t>
      </w:r>
      <w:r w:rsidR="00E050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>Bu Yönerge</w:t>
      </w:r>
      <w:r w:rsidR="00E05010" w:rsidRPr="00E050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Bakan onayını takiben yürürlüğe girer.</w:t>
      </w:r>
    </w:p>
    <w:p w:rsidR="00E05010" w:rsidRPr="00E05010" w:rsidRDefault="00E05010" w:rsidP="00E05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 w:rsidRP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           Yürütme</w:t>
      </w:r>
    </w:p>
    <w:p w:rsidR="009C6395" w:rsidRPr="002262EC" w:rsidRDefault="00E05010" w:rsidP="00E050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          </w:t>
      </w:r>
      <w:r w:rsidRP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>MADDE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 7</w:t>
      </w:r>
      <w:r w:rsidRPr="00E0501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tr-TR"/>
        </w:rPr>
        <w:t xml:space="preserve">- </w:t>
      </w:r>
      <w:r w:rsidRPr="00E05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(1)</w:t>
      </w:r>
      <w:r w:rsidRPr="00E0501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Bu Yönerge hükümleri</w:t>
      </w:r>
      <w:r w:rsidRPr="00E05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Bakan tarafından</w:t>
      </w:r>
      <w:r w:rsidRPr="00E05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DB4A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yürütülür</w:t>
      </w:r>
      <w:r w:rsidRPr="00E050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.</w:t>
      </w:r>
    </w:p>
    <w:p w:rsidR="009C6395" w:rsidRPr="002262EC" w:rsidRDefault="009C6395" w:rsidP="009C63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tr-TR"/>
        </w:rPr>
      </w:pPr>
    </w:p>
    <w:sectPr w:rsidR="009C6395" w:rsidRPr="002262EC" w:rsidSect="009E1D7B">
      <w:footerReference w:type="firs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372" w:rsidRDefault="00B33372">
      <w:pPr>
        <w:spacing w:after="0" w:line="240" w:lineRule="auto"/>
      </w:pPr>
      <w:r>
        <w:separator/>
      </w:r>
    </w:p>
  </w:endnote>
  <w:endnote w:type="continuationSeparator" w:id="0">
    <w:p w:rsidR="00B33372" w:rsidRDefault="00B33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EB0" w:rsidRDefault="00956A93">
    <w:pPr>
      <w:pStyle w:val="Altbilgi"/>
      <w:jc w:val="center"/>
    </w:pPr>
  </w:p>
  <w:p w:rsidR="00BF0EB0" w:rsidRDefault="00956A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372" w:rsidRDefault="00B33372">
      <w:pPr>
        <w:spacing w:after="0" w:line="240" w:lineRule="auto"/>
      </w:pPr>
      <w:r>
        <w:separator/>
      </w:r>
    </w:p>
  </w:footnote>
  <w:footnote w:type="continuationSeparator" w:id="0">
    <w:p w:rsidR="00B33372" w:rsidRDefault="00B33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810AB"/>
    <w:multiLevelType w:val="hybridMultilevel"/>
    <w:tmpl w:val="0CB82E6E"/>
    <w:lvl w:ilvl="0" w:tplc="878A192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7209269A"/>
    <w:multiLevelType w:val="hybridMultilevel"/>
    <w:tmpl w:val="C742AF06"/>
    <w:lvl w:ilvl="0" w:tplc="AA6C6F36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395"/>
    <w:rsid w:val="000873EA"/>
    <w:rsid w:val="000B0E0A"/>
    <w:rsid w:val="0013077B"/>
    <w:rsid w:val="001318EA"/>
    <w:rsid w:val="001E31B2"/>
    <w:rsid w:val="00267D33"/>
    <w:rsid w:val="00287C6E"/>
    <w:rsid w:val="00290A2B"/>
    <w:rsid w:val="00292AED"/>
    <w:rsid w:val="002C1345"/>
    <w:rsid w:val="00313A1D"/>
    <w:rsid w:val="00386184"/>
    <w:rsid w:val="003A0FE7"/>
    <w:rsid w:val="00415524"/>
    <w:rsid w:val="00441FE4"/>
    <w:rsid w:val="004B7B42"/>
    <w:rsid w:val="00573E0A"/>
    <w:rsid w:val="00575836"/>
    <w:rsid w:val="005C3840"/>
    <w:rsid w:val="006352A1"/>
    <w:rsid w:val="0066794E"/>
    <w:rsid w:val="006D5615"/>
    <w:rsid w:val="006F792A"/>
    <w:rsid w:val="006F7DA1"/>
    <w:rsid w:val="007F7413"/>
    <w:rsid w:val="008C5C31"/>
    <w:rsid w:val="008D5B9E"/>
    <w:rsid w:val="008F6226"/>
    <w:rsid w:val="00916868"/>
    <w:rsid w:val="00956A93"/>
    <w:rsid w:val="00971350"/>
    <w:rsid w:val="009839F8"/>
    <w:rsid w:val="009C6395"/>
    <w:rsid w:val="009C7286"/>
    <w:rsid w:val="009D2AD0"/>
    <w:rsid w:val="009E1D7B"/>
    <w:rsid w:val="00B33372"/>
    <w:rsid w:val="00B47DC5"/>
    <w:rsid w:val="00B50DF5"/>
    <w:rsid w:val="00B51BEB"/>
    <w:rsid w:val="00C12B0E"/>
    <w:rsid w:val="00C26E2E"/>
    <w:rsid w:val="00C74DE8"/>
    <w:rsid w:val="00C91B28"/>
    <w:rsid w:val="00CE472D"/>
    <w:rsid w:val="00DB4AE7"/>
    <w:rsid w:val="00E05010"/>
    <w:rsid w:val="00E7416C"/>
    <w:rsid w:val="00ED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F7A5A9-3BB2-49F0-90EB-24D5D0CB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39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9C6395"/>
    <w:pPr>
      <w:tabs>
        <w:tab w:val="center" w:pos="4536"/>
        <w:tab w:val="right" w:pos="9072"/>
      </w:tabs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character" w:customStyle="1" w:styleId="AltbilgiChar">
    <w:name w:val="Altbilgi Char"/>
    <w:basedOn w:val="VarsaylanParagrafYazTipi"/>
    <w:link w:val="Altbilgi"/>
    <w:uiPriority w:val="99"/>
    <w:rsid w:val="009C6395"/>
    <w:rPr>
      <w:rFonts w:ascii="Arial" w:eastAsia="Calibri" w:hAnsi="Arial" w:cs="Arial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F74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41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D2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Tan</dc:creator>
  <cp:keywords/>
  <dc:description/>
  <cp:lastModifiedBy>Canan Yilmaz</cp:lastModifiedBy>
  <cp:revision>25</cp:revision>
  <cp:lastPrinted>2019-02-18T13:47:00Z</cp:lastPrinted>
  <dcterms:created xsi:type="dcterms:W3CDTF">2018-11-13T08:31:00Z</dcterms:created>
  <dcterms:modified xsi:type="dcterms:W3CDTF">2019-03-12T11:46:00Z</dcterms:modified>
</cp:coreProperties>
</file>